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0D0408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0D0408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676C4E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27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>
              <w:rPr>
                <w:rFonts w:ascii="Arial" w:hAnsi="Arial" w:cs="Arial"/>
                <w:color w:val="000000"/>
                <w:lang w:val="es-MX"/>
              </w:rPr>
              <w:t>Octu</w:t>
            </w:r>
            <w:r w:rsidR="00D21B14">
              <w:rPr>
                <w:rFonts w:ascii="Arial" w:hAnsi="Arial" w:cs="Arial"/>
                <w:color w:val="000000"/>
                <w:lang w:val="es-MX"/>
              </w:rPr>
              <w:t>bre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A1726E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000541">
              <w:rPr>
                <w:rFonts w:ascii="Arial" w:hAnsi="Arial" w:cs="Arial"/>
                <w:color w:val="000000"/>
                <w:lang w:val="es-MX"/>
              </w:rPr>
              <w:t>1</w:t>
            </w:r>
            <w:r>
              <w:rPr>
                <w:rFonts w:ascii="Arial" w:hAnsi="Arial" w:cs="Arial"/>
                <w:color w:val="000000"/>
                <w:lang w:val="es-MX"/>
              </w:rPr>
              <w:t>:</w:t>
            </w:r>
            <w:r w:rsidR="00000541">
              <w:rPr>
                <w:rFonts w:ascii="Arial" w:hAnsi="Arial" w:cs="Arial"/>
                <w:color w:val="000000"/>
                <w:lang w:val="es-MX"/>
              </w:rPr>
              <w:t>0</w:t>
            </w:r>
            <w:r w:rsidR="00676C4E">
              <w:rPr>
                <w:rFonts w:ascii="Arial" w:hAnsi="Arial" w:cs="Arial"/>
                <w:color w:val="000000"/>
                <w:lang w:val="es-MX"/>
              </w:rPr>
              <w:t>9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A1726E" w:rsidP="00A51A5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676C4E">
              <w:rPr>
                <w:rFonts w:ascii="Arial" w:hAnsi="Arial" w:cs="Arial"/>
                <w:color w:val="000000"/>
                <w:lang w:val="es-MX"/>
              </w:rPr>
              <w:t>1:59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676C4E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10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asistencia y declaración de quórum legal.</w:t>
            </w:r>
          </w:p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en su caso del proyecto de orden del día.</w:t>
            </w:r>
          </w:p>
          <w:p w:rsidR="00B645C0" w:rsidRDefault="00D21B14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 </w:t>
            </w:r>
            <w:r w:rsidR="004A15B3">
              <w:rPr>
                <w:rFonts w:ascii="Arial" w:hAnsi="Arial" w:cs="Arial"/>
              </w:rPr>
              <w:t>perfiles para la integración</w:t>
            </w:r>
            <w:r>
              <w:rPr>
                <w:rFonts w:ascii="Arial" w:hAnsi="Arial" w:cs="Arial"/>
              </w:rPr>
              <w:t xml:space="preserve"> del Comité Técnico Asesor del PREP. </w:t>
            </w:r>
          </w:p>
          <w:p w:rsidR="00EE237C" w:rsidRPr="005B627B" w:rsidRDefault="00036432" w:rsidP="005518EE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518EE" w:rsidRPr="004A15B3" w:rsidRDefault="0000325E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Mtra. Elisa Flemate Ramírez / President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00325E" w:rsidRPr="008A3571" w:rsidRDefault="0000325E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J. Jesús Frausto Sánchez / Vocal de la Comisión</w:t>
            </w:r>
          </w:p>
          <w:p w:rsidR="005518EE" w:rsidRPr="008A3571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Dra. Adelaida Ávalos Acosta / Consejera Electoral</w:t>
            </w:r>
          </w:p>
          <w:p w:rsidR="005518EE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Elia Olivia Castro Rosales / Consejera Electoral</w:t>
            </w:r>
          </w:p>
          <w:p w:rsidR="004A18EA" w:rsidRPr="002460B7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</w:t>
            </w:r>
            <w:r w:rsidR="004A15B3">
              <w:rPr>
                <w:rFonts w:ascii="Arial" w:hAnsi="Arial" w:cs="Arial"/>
              </w:rPr>
              <w:t>do</w:t>
            </w:r>
            <w:r w:rsidRPr="008A3571">
              <w:rPr>
                <w:rFonts w:ascii="Arial" w:hAnsi="Arial" w:cs="Arial"/>
              </w:rPr>
              <w:t>s de</w:t>
            </w:r>
            <w:r>
              <w:rPr>
                <w:rFonts w:ascii="Arial" w:hAnsi="Arial" w:cs="Arial"/>
              </w:rPr>
              <w:t xml:space="preserve"> </w:t>
            </w:r>
            <w:r w:rsidRPr="008A3571">
              <w:rPr>
                <w:rFonts w:ascii="Arial" w:hAnsi="Arial" w:cs="Arial"/>
              </w:rPr>
              <w:t>los integrantes de la Comisión.</w:t>
            </w:r>
          </w:p>
          <w:p w:rsidR="009B17CC" w:rsidRPr="0057393C" w:rsidRDefault="00EC49F9" w:rsidP="00A51A55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</w:t>
            </w:r>
            <w:r w:rsidR="004A15B3">
              <w:rPr>
                <w:rFonts w:ascii="Arial" w:hAnsi="Arial" w:cs="Arial"/>
              </w:rPr>
              <w:t xml:space="preserve"> los presentes</w:t>
            </w:r>
            <w:r w:rsidRPr="008A3571">
              <w:rPr>
                <w:rFonts w:ascii="Arial" w:hAnsi="Arial" w:cs="Arial"/>
              </w:rPr>
              <w:t xml:space="preserve"> el proyecto del orden del día.</w:t>
            </w:r>
          </w:p>
        </w:tc>
      </w:tr>
      <w:tr w:rsidR="002A72FC" w:rsidRPr="00D14FDC" w:rsidTr="00C4369E">
        <w:trPr>
          <w:trHeight w:val="677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2A72FC" w:rsidRPr="00D14FDC" w:rsidRDefault="002A72FC" w:rsidP="00C4369E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D14FDC">
              <w:rPr>
                <w:rFonts w:ascii="Arial" w:hAnsi="Arial" w:cs="Arial"/>
                <w:b/>
                <w:color w:val="000000"/>
                <w:lang w:val="es-MX"/>
              </w:rPr>
              <w:t>Asuntos Generales</w:t>
            </w:r>
          </w:p>
        </w:tc>
      </w:tr>
      <w:tr w:rsidR="002A72FC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2A72FC" w:rsidRDefault="003A2EB4" w:rsidP="00FF222F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hace del conocimiento de la Comisión </w:t>
            </w:r>
            <w:r w:rsidR="005F0456">
              <w:rPr>
                <w:rFonts w:ascii="Arial" w:hAnsi="Arial" w:cs="Arial"/>
              </w:rPr>
              <w:t xml:space="preserve">que </w:t>
            </w:r>
            <w:r w:rsidR="00FF222F">
              <w:rPr>
                <w:rFonts w:ascii="Arial" w:hAnsi="Arial" w:cs="Arial"/>
              </w:rPr>
              <w:t>hasta la fecha se tiene ya una semana trabajando con la documentación electoral.</w:t>
            </w:r>
            <w:r w:rsidR="004B7450">
              <w:rPr>
                <w:rFonts w:ascii="Arial" w:hAnsi="Arial" w:cs="Arial"/>
              </w:rPr>
              <w:t xml:space="preserve"> Lo anterior tomando como partida los formatos únicos aprobados por el INE.</w:t>
            </w:r>
          </w:p>
          <w:p w:rsidR="004B7450" w:rsidRDefault="004B7450" w:rsidP="00FF222F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informa a la comisión de la necesidad de que se autorice iniciar el procedimiento de contratación de un desarrollador de software, una persona de soporte técnico y una persona de telecomunicaciones.</w:t>
            </w:r>
          </w:p>
        </w:tc>
      </w:tr>
      <w:tr w:rsidR="002A72FC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2A72FC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en C. Miguel Angel Muñoz Duarte.</w:t>
            </w:r>
          </w:p>
          <w:p w:rsidR="002A72FC" w:rsidRPr="004727A8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665" w:rsidRDefault="00A25665" w:rsidP="00DC5D93">
      <w:r>
        <w:separator/>
      </w:r>
    </w:p>
  </w:endnote>
  <w:endnote w:type="continuationSeparator" w:id="1">
    <w:p w:rsidR="00A25665" w:rsidRDefault="00A25665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465AC9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465AC9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D356E7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D356E7">
      <w:rPr>
        <w:rFonts w:ascii="Arial" w:hAnsi="Arial" w:cs="Arial"/>
        <w:sz w:val="20"/>
        <w:szCs w:val="20"/>
      </w:rPr>
      <w:t xml:space="preserve"> de 1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665" w:rsidRDefault="00A25665" w:rsidP="00DC5D93">
      <w:r>
        <w:separator/>
      </w:r>
    </w:p>
  </w:footnote>
  <w:footnote w:type="continuationSeparator" w:id="1">
    <w:p w:rsidR="00A25665" w:rsidRDefault="00A25665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465AC9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4C523238"/>
    <w:multiLevelType w:val="hybridMultilevel"/>
    <w:tmpl w:val="826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0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4C0F6D"/>
    <w:multiLevelType w:val="hybridMultilevel"/>
    <w:tmpl w:val="5E8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4"/>
  </w:num>
  <w:num w:numId="5">
    <w:abstractNumId w:val="2"/>
  </w:num>
  <w:num w:numId="6">
    <w:abstractNumId w:val="2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  <w:num w:numId="14">
    <w:abstractNumId w:val="13"/>
  </w:num>
  <w:num w:numId="15">
    <w:abstractNumId w:val="16"/>
  </w:num>
  <w:num w:numId="16">
    <w:abstractNumId w:val="21"/>
  </w:num>
  <w:num w:numId="17">
    <w:abstractNumId w:val="19"/>
  </w:num>
  <w:num w:numId="18">
    <w:abstractNumId w:val="18"/>
  </w:num>
  <w:num w:numId="19">
    <w:abstractNumId w:val="11"/>
  </w:num>
  <w:num w:numId="20">
    <w:abstractNumId w:val="0"/>
  </w:num>
  <w:num w:numId="21">
    <w:abstractNumId w:val="15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0541"/>
    <w:rsid w:val="0000325E"/>
    <w:rsid w:val="00016580"/>
    <w:rsid w:val="00027664"/>
    <w:rsid w:val="00036432"/>
    <w:rsid w:val="00050DF1"/>
    <w:rsid w:val="000B11B1"/>
    <w:rsid w:val="000B261E"/>
    <w:rsid w:val="000C057A"/>
    <w:rsid w:val="000C0849"/>
    <w:rsid w:val="000C11C9"/>
    <w:rsid w:val="000D0408"/>
    <w:rsid w:val="000F49CE"/>
    <w:rsid w:val="00103BB8"/>
    <w:rsid w:val="0014108E"/>
    <w:rsid w:val="00150358"/>
    <w:rsid w:val="0016421E"/>
    <w:rsid w:val="001B7C8F"/>
    <w:rsid w:val="001D3A6D"/>
    <w:rsid w:val="002274FF"/>
    <w:rsid w:val="00232856"/>
    <w:rsid w:val="002460B7"/>
    <w:rsid w:val="00247D09"/>
    <w:rsid w:val="00265542"/>
    <w:rsid w:val="002831A2"/>
    <w:rsid w:val="00293353"/>
    <w:rsid w:val="00295C62"/>
    <w:rsid w:val="002A72FC"/>
    <w:rsid w:val="002D0ED4"/>
    <w:rsid w:val="002D47BB"/>
    <w:rsid w:val="002F3EB0"/>
    <w:rsid w:val="00301284"/>
    <w:rsid w:val="003303A1"/>
    <w:rsid w:val="003369F7"/>
    <w:rsid w:val="00346108"/>
    <w:rsid w:val="003705C4"/>
    <w:rsid w:val="00377DD6"/>
    <w:rsid w:val="003A2EB4"/>
    <w:rsid w:val="003A5EEF"/>
    <w:rsid w:val="003B1565"/>
    <w:rsid w:val="003C7B7B"/>
    <w:rsid w:val="003F5878"/>
    <w:rsid w:val="00407D6D"/>
    <w:rsid w:val="00424BCF"/>
    <w:rsid w:val="00427C58"/>
    <w:rsid w:val="004479D1"/>
    <w:rsid w:val="0046247E"/>
    <w:rsid w:val="00465AC9"/>
    <w:rsid w:val="0046614E"/>
    <w:rsid w:val="00475D08"/>
    <w:rsid w:val="004809D0"/>
    <w:rsid w:val="004964A8"/>
    <w:rsid w:val="00497F7D"/>
    <w:rsid w:val="004A15B3"/>
    <w:rsid w:val="004A18EA"/>
    <w:rsid w:val="004A546D"/>
    <w:rsid w:val="004B2088"/>
    <w:rsid w:val="004B7450"/>
    <w:rsid w:val="004F7A50"/>
    <w:rsid w:val="0050163C"/>
    <w:rsid w:val="00503004"/>
    <w:rsid w:val="005048D5"/>
    <w:rsid w:val="005126B0"/>
    <w:rsid w:val="00540947"/>
    <w:rsid w:val="00547CC2"/>
    <w:rsid w:val="005518EE"/>
    <w:rsid w:val="00566632"/>
    <w:rsid w:val="00570E8C"/>
    <w:rsid w:val="0057393C"/>
    <w:rsid w:val="005A3B90"/>
    <w:rsid w:val="005B627B"/>
    <w:rsid w:val="005C32E6"/>
    <w:rsid w:val="005C5401"/>
    <w:rsid w:val="005E4FCD"/>
    <w:rsid w:val="005E5955"/>
    <w:rsid w:val="005F0456"/>
    <w:rsid w:val="00642CDB"/>
    <w:rsid w:val="00643117"/>
    <w:rsid w:val="00665941"/>
    <w:rsid w:val="00676C4E"/>
    <w:rsid w:val="00692C56"/>
    <w:rsid w:val="006A2346"/>
    <w:rsid w:val="006A409C"/>
    <w:rsid w:val="006F0DB2"/>
    <w:rsid w:val="006F1902"/>
    <w:rsid w:val="0071516B"/>
    <w:rsid w:val="00721B88"/>
    <w:rsid w:val="007569AA"/>
    <w:rsid w:val="007644F6"/>
    <w:rsid w:val="00781D61"/>
    <w:rsid w:val="00782D5F"/>
    <w:rsid w:val="007861FB"/>
    <w:rsid w:val="00791AF6"/>
    <w:rsid w:val="007B24FF"/>
    <w:rsid w:val="007E7864"/>
    <w:rsid w:val="00810E2B"/>
    <w:rsid w:val="00850AA6"/>
    <w:rsid w:val="00863700"/>
    <w:rsid w:val="008D0C24"/>
    <w:rsid w:val="008D6864"/>
    <w:rsid w:val="008E4676"/>
    <w:rsid w:val="008F49CD"/>
    <w:rsid w:val="00911A89"/>
    <w:rsid w:val="0091584F"/>
    <w:rsid w:val="00926F60"/>
    <w:rsid w:val="0095525B"/>
    <w:rsid w:val="009672E2"/>
    <w:rsid w:val="00974230"/>
    <w:rsid w:val="0097505F"/>
    <w:rsid w:val="00977925"/>
    <w:rsid w:val="00985701"/>
    <w:rsid w:val="009967DA"/>
    <w:rsid w:val="009B06B8"/>
    <w:rsid w:val="009B17CC"/>
    <w:rsid w:val="009C7A65"/>
    <w:rsid w:val="009D226F"/>
    <w:rsid w:val="009F22CB"/>
    <w:rsid w:val="00A03D2C"/>
    <w:rsid w:val="00A1726E"/>
    <w:rsid w:val="00A25665"/>
    <w:rsid w:val="00A329AF"/>
    <w:rsid w:val="00A34065"/>
    <w:rsid w:val="00A411A8"/>
    <w:rsid w:val="00A51A55"/>
    <w:rsid w:val="00AD57A7"/>
    <w:rsid w:val="00AE4450"/>
    <w:rsid w:val="00B1600B"/>
    <w:rsid w:val="00B645C0"/>
    <w:rsid w:val="00BC750D"/>
    <w:rsid w:val="00C07B63"/>
    <w:rsid w:val="00C11CBE"/>
    <w:rsid w:val="00C37C3C"/>
    <w:rsid w:val="00C47865"/>
    <w:rsid w:val="00C55DED"/>
    <w:rsid w:val="00C85847"/>
    <w:rsid w:val="00CD7198"/>
    <w:rsid w:val="00CE4CD9"/>
    <w:rsid w:val="00D168EB"/>
    <w:rsid w:val="00D21B14"/>
    <w:rsid w:val="00D356E7"/>
    <w:rsid w:val="00D437EA"/>
    <w:rsid w:val="00D52E10"/>
    <w:rsid w:val="00D56D12"/>
    <w:rsid w:val="00D75E59"/>
    <w:rsid w:val="00DB519F"/>
    <w:rsid w:val="00DC5D93"/>
    <w:rsid w:val="00DD3514"/>
    <w:rsid w:val="00DD39C4"/>
    <w:rsid w:val="00E54ED9"/>
    <w:rsid w:val="00EB109A"/>
    <w:rsid w:val="00EC49F9"/>
    <w:rsid w:val="00EE237C"/>
    <w:rsid w:val="00F05075"/>
    <w:rsid w:val="00F35317"/>
    <w:rsid w:val="00F43FFF"/>
    <w:rsid w:val="00F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4</cp:revision>
  <cp:lastPrinted>2018-01-11T01:49:00Z</cp:lastPrinted>
  <dcterms:created xsi:type="dcterms:W3CDTF">2018-11-14T19:15:00Z</dcterms:created>
  <dcterms:modified xsi:type="dcterms:W3CDTF">2018-11-14T19:40:00Z</dcterms:modified>
</cp:coreProperties>
</file>